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A3" w:rsidRPr="00BE0BA3" w:rsidRDefault="00BE0BA3" w:rsidP="00BE0BA3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5639"/>
      </w:tblGrid>
      <w:tr w:rsidR="00BE0BA3" w:rsidRPr="00BE0BA3" w:rsidTr="00BE0B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A3" w:rsidRPr="00BE0BA3" w:rsidRDefault="00BE0BA3" w:rsidP="00BE0BA3">
            <w:pPr>
              <w:spacing w:after="0" w:line="273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BE0BA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BE0BA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B22222"/>
                <w:sz w:val="24"/>
                <w:szCs w:val="24"/>
                <w:lang w:eastAsia="ru-RU"/>
              </w:rPr>
              <w:t> Информация об организации питания воспитанников</w:t>
            </w:r>
            <w:r w:rsidRPr="00BE0BA3">
              <w:rPr>
                <w:rFonts w:ascii="Trebuchet MS" w:eastAsia="Times New Roman" w:hAnsi="Trebuchet MS" w:cs="Times New Roman"/>
                <w:i/>
                <w:iCs/>
                <w:color w:val="B22222"/>
                <w:sz w:val="24"/>
                <w:szCs w:val="24"/>
                <w:lang w:eastAsia="ru-RU"/>
              </w:rPr>
              <w:t> </w:t>
            </w:r>
          </w:p>
          <w:p w:rsidR="00BE0BA3" w:rsidRPr="00BE0BA3" w:rsidRDefault="00BE0BA3" w:rsidP="00BE0BA3">
            <w:pPr>
              <w:spacing w:after="0" w:line="273" w:lineRule="atLeast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E0BA3" w:rsidRPr="00BE0BA3" w:rsidTr="00BE0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наличии 2-х недельного меню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питания в ДОУ проводится согласно  утвержденному  10-дневному меню.</w:t>
            </w:r>
          </w:p>
        </w:tc>
      </w:tr>
      <w:tr w:rsidR="00BE0BA3" w:rsidRPr="00BE0BA3" w:rsidTr="00BE0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кратности питания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ДОУ питание 5</w:t>
            </w: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кратное:</w:t>
            </w:r>
          </w:p>
          <w:p w:rsidR="00BE0BA3" w:rsidRPr="00BE0BA3" w:rsidRDefault="00BE0BA3" w:rsidP="00BE0BA3">
            <w:pPr>
              <w:numPr>
                <w:ilvl w:val="0"/>
                <w:numId w:val="1"/>
              </w:numPr>
              <w:spacing w:after="0" w:line="273" w:lineRule="atLeast"/>
              <w:ind w:left="132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Завтрак</w:t>
            </w:r>
          </w:p>
          <w:p w:rsidR="00BE0BA3" w:rsidRPr="00BE0BA3" w:rsidRDefault="00BE0BA3" w:rsidP="00BE0BA3">
            <w:pPr>
              <w:numPr>
                <w:ilvl w:val="0"/>
                <w:numId w:val="1"/>
              </w:numPr>
              <w:spacing w:after="0" w:line="273" w:lineRule="atLeast"/>
              <w:ind w:left="132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завтрак</w:t>
            </w:r>
          </w:p>
          <w:p w:rsidR="00BE0BA3" w:rsidRPr="00BE0BA3" w:rsidRDefault="00BE0BA3" w:rsidP="00BE0BA3">
            <w:pPr>
              <w:numPr>
                <w:ilvl w:val="0"/>
                <w:numId w:val="1"/>
              </w:numPr>
              <w:spacing w:after="0" w:line="273" w:lineRule="atLeast"/>
              <w:ind w:left="132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Обед</w:t>
            </w:r>
          </w:p>
          <w:p w:rsidR="00BE0BA3" w:rsidRPr="00BE0BA3" w:rsidRDefault="00BE0BA3" w:rsidP="00BE0BA3">
            <w:pPr>
              <w:numPr>
                <w:ilvl w:val="0"/>
                <w:numId w:val="1"/>
              </w:numPr>
              <w:spacing w:after="0" w:line="273" w:lineRule="atLeast"/>
              <w:ind w:left="132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Полдник</w:t>
            </w:r>
          </w:p>
          <w:p w:rsidR="00BE0BA3" w:rsidRPr="00BE0BA3" w:rsidRDefault="00BE0BA3" w:rsidP="00BE0BA3">
            <w:pPr>
              <w:numPr>
                <w:ilvl w:val="0"/>
                <w:numId w:val="1"/>
              </w:numPr>
              <w:spacing w:after="0" w:line="273" w:lineRule="atLeast"/>
              <w:ind w:left="132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Ужин</w:t>
            </w:r>
          </w:p>
        </w:tc>
      </w:tr>
      <w:tr w:rsidR="00BE0BA3" w:rsidRPr="00BE0BA3" w:rsidTr="00BE0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A3" w:rsidRPr="00BE0BA3" w:rsidRDefault="00BE0BA3" w:rsidP="00BE0BA3">
            <w:pPr>
              <w:spacing w:after="0" w:line="273" w:lineRule="atLeast"/>
              <w:ind w:left="600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 контроле за качеством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A3" w:rsidRPr="00BE0BA3" w:rsidRDefault="00BE0BA3" w:rsidP="00BE0BA3">
            <w:pPr>
              <w:spacing w:after="0" w:line="273" w:lineRule="atLeast"/>
              <w:ind w:left="600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Бракеражная комиссия</w:t>
            </w:r>
          </w:p>
        </w:tc>
      </w:tr>
      <w:tr w:rsidR="00BE0BA3" w:rsidRPr="00BE0BA3" w:rsidTr="00BE0BA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A3" w:rsidRPr="00BE0BA3" w:rsidRDefault="00BE0BA3" w:rsidP="00BE0BA3">
            <w:pPr>
              <w:spacing w:after="0" w:line="273" w:lineRule="atLeast"/>
              <w:ind w:left="600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Витаминизация блюд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A3" w:rsidRPr="00BE0BA3" w:rsidRDefault="00BE0BA3" w:rsidP="00BE0BA3">
            <w:pPr>
              <w:spacing w:after="0" w:line="273" w:lineRule="atLeast"/>
              <w:ind w:left="600"/>
              <w:jc w:val="center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Ежедневно проводится искусственная « С » витаминизация 3-го блюда.</w:t>
            </w:r>
          </w:p>
        </w:tc>
      </w:tr>
      <w:tr w:rsidR="00BE0BA3" w:rsidRPr="00BE0BA3" w:rsidTr="00BE0BA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color w:val="000080"/>
                <w:sz w:val="21"/>
                <w:szCs w:val="21"/>
                <w:shd w:val="clear" w:color="auto" w:fill="E6E6FA"/>
                <w:lang w:eastAsia="ru-RU"/>
              </w:rPr>
              <w:t>Недопустимые продукты в ДОУ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Приложение </w:t>
            </w:r>
            <w:r w:rsidRPr="00BE0BA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 к СанПиН </w:t>
            </w:r>
            <w:r w:rsidRPr="00BE0BA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2.4.1.3049-13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Пищевые продукты, которые не допускается использовать в питании детей в дошкольных организациях, в целях предотвращения возникновения и распространения инфекционных и массовых неинфекционных заболеваний (отравлений):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субпродуктов, кроме печени, языка, сердца;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-непотрошеной птицы;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-мяса диких животных;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-мясо и субпродукты замороженные, со сроком годности более 6 месяцев;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-мясо птицы замороженные;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-мясо птицы механической обвалки и коллагенсодержащее сырье из мяса птицы;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-мясо третьей и четвертой категории;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-мясо с массовой долей костей, жировой и соединительной ткани свыше 20%;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-зельцев, изделий из мясной обрези, диафрагмы; рулетов из мякоти голов, кровяных и ливерных колбас;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-кулинарных жиров, свиного или бараньего сала, маргарина и других гидрогенизированных жиров;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-яиц и мяса водоплавающих птиц;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-яиц с загрязненной скорлупой, с насечкой, «тек», «бой», а также яиц из хозяйств, неблагополучных по сальмонеллезам;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-консервов с нарушением герметичности банок, бомбажных, «хлопуш», банок с ржавчиной, деформированных, без этикеток;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-крупы, мука, сухофруктов и других продуктов, загрязненных различными примесями или зараженных амбарными вредителями.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-любых пищевых продуктов домашнего (не промышленного) изготовления, а также принесенных из дома и не имеющих документов, подтверждающих их качество и безопасность (в том числе при организации праздничных мероприятий, праздновании дней рождения и т.п.);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-кремовых кондитерских изделий (пирожных и тортов) и кремов;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-творога из непастеризованного молока, фляжного творога, фляжной сметаны без термической обработки;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-простокваши “самокваса”;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-грибов и продуктов (кулинарных изделий), из них приготовленных;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-кваса, газированных напитков;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-молока и молочных продуктов из хозяйств, неблагополучных по заболеваемости </w:t>
            </w: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сельскохозяйственных животных, а также не прошедших первичную обработку и пастеризацию;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-сырокопченых, полукопченых, подкопченных мясных гастрономических изделий и колбас;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-блюд, изготовленных из мяса, птицы, рыбы, не прошедших тепловую обработку, кроме соленой рыбы (сельдь, семга, форель);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-бульонов приготовленных на основе костей;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-жареных в жире (во фритюре) пищевых продуктов и изделий, чипсов;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-уксуса, горчицы, хрена, перца острого (красного, черного, белого) и других острых (жгучих) приправ, и содержащих их пищевых продуктов;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острых соусов, кетчупов, майонезов и майонезных соусов, маринованных овощей и фруктов (огурцы, томаты, сливы, яблоки) и других продуктов, консервированных с уксусом;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-кофе натурального;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-ядра абрикосовой косточки, арахиса;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-молочных продуктов, творожных сырков и мороженого с использованием растительных жиров;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-кумыса и других кисломолочных продуктов с содержанием этанола (более 0,5%).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-карамели, в том числе леденцовой;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-первых и вторых блюд из/на основе сухих пищевых концентратов быстрого приготовления;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-продуктов, содержащих в своем составе синтетические ароматизаторы и красители;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-сливочное масло жирностью ниже 72%;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-продуктов, в том числе кондитерских изделий, содержащих алкоголь;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-консервированные продукты с использованием уксуса.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Питание в детском саду осуществляется в строгом соответствии с десятидневным меню, утвержденным заведующим ДОУ и составленным с учетом требований СанПиН 2.4.1.3049-13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color w:val="B22222"/>
                <w:sz w:val="21"/>
                <w:szCs w:val="21"/>
                <w:lang w:eastAsia="ru-RU"/>
              </w:rPr>
              <w:t>Принципы организации питания: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сбалансированность в рационе всех пищевых веществ;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максимальное разнообразие продуктов и блюд;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правильная технологическая и кулинарная обработка продуктов, сохранность пищевой ценности;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оптимальный режим питания;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соблюдение гигиенических требований к питанию соответствие энергетической ценности рациона энергозатратам ребёнка.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color w:val="B22222"/>
                <w:sz w:val="21"/>
                <w:szCs w:val="21"/>
                <w:lang w:eastAsia="ru-RU"/>
              </w:rPr>
              <w:t>Количество приёмов пищи в группах</w:t>
            </w:r>
            <w:r>
              <w:rPr>
                <w:rFonts w:ascii="Trebuchet MS" w:eastAsia="Times New Roman" w:hAnsi="Trebuchet MS" w:cs="Times New Roman"/>
                <w:b/>
                <w:bCs/>
                <w:color w:val="B22222"/>
                <w:sz w:val="21"/>
                <w:szCs w:val="21"/>
                <w:lang w:eastAsia="ru-RU"/>
              </w:rPr>
              <w:t xml:space="preserve"> оздоровительной </w:t>
            </w:r>
            <w:r w:rsidRPr="00BE0BA3">
              <w:rPr>
                <w:rFonts w:ascii="Trebuchet MS" w:eastAsia="Times New Roman" w:hAnsi="Trebuchet MS" w:cs="Times New Roman"/>
                <w:b/>
                <w:bCs/>
                <w:color w:val="B22222"/>
                <w:sz w:val="21"/>
                <w:szCs w:val="21"/>
                <w:lang w:eastAsia="ru-RU"/>
              </w:rPr>
              <w:t xml:space="preserve"> направленности –</w:t>
            </w:r>
            <w:r>
              <w:rPr>
                <w:rFonts w:ascii="Trebuchet MS" w:eastAsia="Times New Roman" w:hAnsi="Trebuchet MS" w:cs="Times New Roman"/>
                <w:b/>
                <w:bCs/>
                <w:color w:val="B22222"/>
                <w:sz w:val="21"/>
                <w:szCs w:val="21"/>
                <w:lang w:eastAsia="ru-RU"/>
              </w:rPr>
              <w:t>пять</w:t>
            </w:r>
            <w:r w:rsidRPr="00BE0BA3">
              <w:rPr>
                <w:rFonts w:ascii="Trebuchet MS" w:eastAsia="Times New Roman" w:hAnsi="Trebuchet MS" w:cs="Times New Roman"/>
                <w:b/>
                <w:bCs/>
                <w:color w:val="B22222"/>
                <w:sz w:val="21"/>
                <w:szCs w:val="21"/>
                <w:lang w:eastAsia="ru-RU"/>
              </w:rPr>
              <w:t>: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Завтрак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Второй завтрак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Обед</w:t>
            </w:r>
          </w:p>
          <w:p w:rsid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Полдник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Ужин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Ежедневно проводится витаминизация 3 блюда витамином С.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Общий контроль за качеством питания осуществляет заведующий  МБДОУ "Детский сад № 3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" </w:t>
            </w:r>
            <w:r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 xml:space="preserve">присмотра и оздоровления Белова Е.Н., </w:t>
            </w: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она же составляет ежедневное меню-требование, следит за качеством приготовления пищи в соответствии с технологическими картами приготовления блюд, производит пробу готовых блюд и закладывает ее на хранение в соответствии с требованиями СЭС, следит за выполнением графика получения пищи группами, проводит ежедневный обход групп, проверяя организацию питания в группах, ведет необходимую документацию.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color w:val="B22222"/>
                <w:sz w:val="21"/>
                <w:szCs w:val="21"/>
                <w:lang w:eastAsia="ru-RU"/>
              </w:rPr>
              <w:t>Рекомендуемые суточные нормы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Приложение 10 к СанПиН </w:t>
            </w:r>
            <w:r w:rsidRPr="00BE0BA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2.4.1.3049-13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Рекомендуемые среднесуточные нормы питания в дошкольных организациях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color w:val="000000"/>
                <w:sz w:val="21"/>
                <w:szCs w:val="21"/>
                <w:lang w:eastAsia="ru-RU"/>
              </w:rPr>
              <w:t>(г, мл, на 1 ребенка) </w:t>
            </w:r>
          </w:p>
          <w:tbl>
            <w:tblPr>
              <w:tblW w:w="93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7"/>
              <w:gridCol w:w="6"/>
              <w:gridCol w:w="1677"/>
              <w:gridCol w:w="1056"/>
              <w:gridCol w:w="1480"/>
            </w:tblGrid>
            <w:tr w:rsidR="00BE0BA3" w:rsidRPr="00BE0BA3" w:rsidTr="00BE0BA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shd w:val="clear" w:color="auto" w:fill="E6E6FA"/>
                      <w:lang w:eastAsia="ru-RU"/>
                    </w:rPr>
                    <w:t>Наименование пищевого   продукта или группы пищевых продуктов</w:t>
                  </w:r>
                </w:p>
              </w:tc>
              <w:tc>
                <w:tcPr>
                  <w:tcW w:w="4111" w:type="dxa"/>
                  <w:gridSpan w:val="4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80"/>
                      <w:sz w:val="24"/>
                      <w:szCs w:val="24"/>
                      <w:shd w:val="clear" w:color="auto" w:fill="E6E6FA"/>
                      <w:lang w:eastAsia="ru-RU"/>
                    </w:rPr>
                    <w:t>Количество продуктов в   зависимости от возраста детей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Merge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г, мл, брутто2</w:t>
                  </w:r>
                </w:p>
              </w:tc>
              <w:tc>
                <w:tcPr>
                  <w:tcW w:w="2349" w:type="dxa"/>
                  <w:gridSpan w:val="2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г, мл, нетто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Merge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3-7 лет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3-7</w:t>
                  </w:r>
                  <w:r w:rsidRPr="00BE0BA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лет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Молоко с м.д.ж. 2,5-3,2%, в   т.ч. кисломолочные продукты с м.д.ж. 2,5-3,2%3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Творог, творожные изделия   для детского питания с м.д.ж. не более 9% и кислотностью не более 1500Т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Сметана с м.д.ж. не более   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Сыр неострых сортов твердый   и мягкий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6,4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Мясо (говядина 1 кат.   бескостная/говядина 1 кат. на костях)4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60,5/75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Птица (куры 1 кат   потр./цыплята-бройлеры 1 кат потр./индейка 1 кат потр.)4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27/27/26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Рыба (филе), в т.ч. филе   слабо или малосоленое4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Колбасные изделия для   питания дошкольников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6,9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Яйцо куриное диетическое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0,6 шт.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Картофель: с 01.09 по 31.10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187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                   с 31.10 по 31.12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                   с 31.12 по 28.02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215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                     с 29.02 по 01.09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Овощи, зелень4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325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Фрукты (плоды) свежие4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Фрукты (плоды) сухие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Соки фруктовые (овощные)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Напитки витаминизированные   (готовый напиток)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Хлеб ржаной   (ржано-пшеничный)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Хлеб пшеничный или хлеб   зерновой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Крупы (злаки), бобовые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Макаронные изделия группы 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Мука пшеничная хлебопекарная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Мука картофельная (крахмал)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Масло коровье   сладкосливочное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Масло растительное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Кондитерские изделия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Чай, включая фиточай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Какао-порошок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Кофейный напиток </w:t>
                  </w: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злаковый   (суррогатный), в т.ч. из цикория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Дрожжи хлебопекарные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Сахар5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  <w:tr w:rsidR="00BE0BA3" w:rsidRPr="00BE0BA3" w:rsidTr="00BE0BA3"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Соль пищевая поваренная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978" w:type="dxa"/>
                  <w:vAlign w:val="center"/>
                  <w:hideMark/>
                </w:tcPr>
                <w:p w:rsidR="00BE0BA3" w:rsidRPr="00BE0BA3" w:rsidRDefault="00BE0BA3" w:rsidP="00BE0BA3">
                  <w:pPr>
                    <w:spacing w:after="0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0BA3" w:rsidRPr="00BE0BA3" w:rsidRDefault="00BE0BA3" w:rsidP="00DF26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0BA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>1 – Допустимы отклонения от рекомендуемых норм питания ±5%.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>2 -  в случае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определяются дошкольной организацией самостоятельно путем контрольных проработок.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>3 – доля кисломолочных продуктов должна составлять 150-180 мл – для детей  3-7 лет;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>4 –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i/>
                <w:iCs/>
                <w:color w:val="000000"/>
                <w:sz w:val="21"/>
                <w:szCs w:val="21"/>
                <w:lang w:eastAsia="ru-RU"/>
              </w:rPr>
              <w:t>5-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 выдача сахара должна быть уменьшена в соответствии с его количеством, поступающим в составе используемого готового продукта.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b/>
                <w:bCs/>
                <w:i/>
                <w:iCs/>
                <w:color w:val="B22222"/>
                <w:sz w:val="21"/>
                <w:szCs w:val="21"/>
                <w:u w:val="single"/>
                <w:lang w:eastAsia="ru-RU"/>
              </w:rPr>
              <w:t>Охрана жизни и здоровья воспитанников.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 В  ДОУ  имеется отдельно выделенный  </w:t>
            </w:r>
            <w:r w:rsidR="00DF26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медицинский блок, он состоит из</w:t>
            </w:r>
            <w:r w:rsidRPr="00BE0BA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медицинского кабинета.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 Медицинское обслуживание воспитанников осуществляется  медицинской сестрой,  врачом-педиатром Д</w:t>
            </w:r>
            <w:r w:rsidR="00DF26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етской городской поликлиники № 10</w:t>
            </w:r>
            <w:r w:rsidRPr="00BE0BA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, которые осуществляют  оценку состояния здоровья воспитанников, плановую профилактическую работу с воспитанниками  ( вакцинацинопрофилактика , работа по профилактике туберкулеза среди воспитанников), тематические собрания родителей, оказание им консультативной помощи, углубленные профосмотры воспитанников.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  Взаимодействие  ДОУ и муниципального учреждения здравоохранения ГБУЗ Н</w:t>
            </w:r>
            <w:r w:rsidR="00DF26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О «Городская детская больница №10</w:t>
            </w:r>
            <w:r w:rsidRPr="00BE0BA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  г.Дзержинска»  осуществляется и регулируется на договорной основе  ( заключен договор  о сотрудничес</w:t>
            </w:r>
            <w:r w:rsidR="00DF262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>тве от 09.01.2017</w:t>
            </w:r>
            <w:r w:rsidRPr="00BE0BA3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u-RU"/>
              </w:rPr>
              <w:t xml:space="preserve"> г.).</w:t>
            </w:r>
          </w:p>
          <w:p w:rsidR="00BE0BA3" w:rsidRPr="00BE0BA3" w:rsidRDefault="00BE0BA3" w:rsidP="00BE0BA3">
            <w:pPr>
              <w:spacing w:after="0" w:line="273" w:lineRule="atLeast"/>
              <w:ind w:left="600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BE0BA3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F055BC" w:rsidRDefault="00F055BC">
      <w:bookmarkStart w:id="0" w:name="_GoBack"/>
      <w:bookmarkEnd w:id="0"/>
    </w:p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E04FC"/>
    <w:multiLevelType w:val="multilevel"/>
    <w:tmpl w:val="AC6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9B"/>
    <w:rsid w:val="00092A9B"/>
    <w:rsid w:val="00543577"/>
    <w:rsid w:val="00BE0BA3"/>
    <w:rsid w:val="00DF2621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72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7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8005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1E13-1B77-41F7-B4C6-FBD71980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2017-11-01T14:09:00Z</cp:lastPrinted>
  <dcterms:created xsi:type="dcterms:W3CDTF">2017-11-01T13:56:00Z</dcterms:created>
  <dcterms:modified xsi:type="dcterms:W3CDTF">2017-11-01T14:09:00Z</dcterms:modified>
</cp:coreProperties>
</file>